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202A1" w14:textId="77777777" w:rsidR="00C754F9" w:rsidRDefault="00C754F9" w:rsidP="00C754F9">
      <w:pPr>
        <w:tabs>
          <w:tab w:val="left" w:pos="-220"/>
        </w:tabs>
        <w:ind w:left="770" w:hanging="770"/>
        <w:jc w:val="both"/>
        <w:rPr>
          <w:rFonts w:ascii="Arial" w:hAnsi="Arial" w:cs="Arial"/>
        </w:rPr>
      </w:pPr>
    </w:p>
    <w:p w14:paraId="228BA0EC" w14:textId="77777777" w:rsidR="00C754F9" w:rsidRPr="0006554A" w:rsidRDefault="00C754F9" w:rsidP="00C754F9">
      <w:pPr>
        <w:jc w:val="center"/>
        <w:rPr>
          <w:rFonts w:ascii="Arial" w:hAnsi="Arial" w:cs="Arial"/>
          <w:b/>
        </w:rPr>
      </w:pPr>
      <w:r w:rsidRPr="0006554A">
        <w:rPr>
          <w:rFonts w:ascii="Arial" w:hAnsi="Arial" w:cs="Arial"/>
          <w:b/>
        </w:rPr>
        <w:t>PERSON SPECIFICATION</w:t>
      </w:r>
    </w:p>
    <w:p w14:paraId="61A94DAE" w14:textId="77777777" w:rsidR="00C754F9" w:rsidRPr="0006554A" w:rsidRDefault="00C754F9" w:rsidP="00C754F9">
      <w:pPr>
        <w:jc w:val="center"/>
        <w:rPr>
          <w:rFonts w:ascii="Arial" w:hAnsi="Arial" w:cs="Arial"/>
          <w:b/>
        </w:rPr>
      </w:pPr>
    </w:p>
    <w:p w14:paraId="37160525" w14:textId="77777777" w:rsidR="00C754F9" w:rsidRPr="0006554A" w:rsidRDefault="002E55ED" w:rsidP="00C754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LEGISLATIVE DRAFTER</w:t>
      </w:r>
    </w:p>
    <w:p w14:paraId="62D03CB9" w14:textId="77777777" w:rsidR="00EC0260" w:rsidRDefault="00EC0260" w:rsidP="00C754F9">
      <w:pPr>
        <w:jc w:val="both"/>
        <w:rPr>
          <w:rFonts w:ascii="Arial" w:hAnsi="Arial" w:cs="Arial"/>
        </w:rPr>
      </w:pPr>
    </w:p>
    <w:p w14:paraId="69B66EB4" w14:textId="77777777" w:rsidR="00F82301" w:rsidRDefault="00F82301" w:rsidP="00C754F9">
      <w:pPr>
        <w:jc w:val="both"/>
        <w:rPr>
          <w:rFonts w:ascii="Arial" w:hAnsi="Arial" w:cs="Arial"/>
        </w:rPr>
      </w:pPr>
    </w:p>
    <w:p w14:paraId="16C1E601" w14:textId="77777777" w:rsidR="00C754F9" w:rsidRPr="0006554A" w:rsidRDefault="00C754F9" w:rsidP="00C754F9">
      <w:pPr>
        <w:jc w:val="both"/>
        <w:rPr>
          <w:rFonts w:ascii="Arial" w:hAnsi="Arial" w:cs="Arial"/>
        </w:rPr>
      </w:pPr>
      <w:r w:rsidRPr="0006554A">
        <w:rPr>
          <w:rFonts w:ascii="Arial" w:hAnsi="Arial" w:cs="Arial"/>
        </w:rPr>
        <w:t xml:space="preserve">The person appointed will be required to perform the professional duties as detailed in the </w:t>
      </w:r>
      <w:r w:rsidR="00EC0260">
        <w:rPr>
          <w:rFonts w:ascii="Arial" w:hAnsi="Arial" w:cs="Arial"/>
        </w:rPr>
        <w:t>in the job description</w:t>
      </w:r>
      <w:r w:rsidRPr="0006554A">
        <w:rPr>
          <w:rFonts w:ascii="Arial" w:hAnsi="Arial" w:cs="Arial"/>
        </w:rPr>
        <w:t>.</w:t>
      </w:r>
    </w:p>
    <w:p w14:paraId="27A17C72" w14:textId="77777777" w:rsidR="00C754F9" w:rsidRPr="0006554A" w:rsidRDefault="00C754F9" w:rsidP="00C754F9">
      <w:pPr>
        <w:rPr>
          <w:rFonts w:ascii="Arial" w:hAnsi="Arial" w:cs="Arial"/>
        </w:rPr>
      </w:pPr>
    </w:p>
    <w:p w14:paraId="792FF136" w14:textId="77777777" w:rsidR="00C754F9" w:rsidRPr="0006554A" w:rsidRDefault="00C754F9" w:rsidP="00C754F9">
      <w:pPr>
        <w:rPr>
          <w:rFonts w:ascii="Arial" w:hAnsi="Arial" w:cs="Arial"/>
          <w:b/>
        </w:rPr>
      </w:pPr>
      <w:r w:rsidRPr="0006554A">
        <w:rPr>
          <w:rFonts w:ascii="Arial" w:hAnsi="Arial" w:cs="Arial"/>
          <w:b/>
        </w:rPr>
        <w:t>The ideal candidate will match the following specification:</w:t>
      </w:r>
    </w:p>
    <w:p w14:paraId="3F458F9D" w14:textId="77777777" w:rsidR="00C754F9" w:rsidRPr="0006554A" w:rsidRDefault="00C754F9" w:rsidP="00C754F9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6535"/>
      </w:tblGrid>
      <w:tr w:rsidR="00C754F9" w:rsidRPr="00BE0F06" w14:paraId="658FCCE5" w14:textId="77777777" w:rsidTr="00AA3E77">
        <w:tc>
          <w:tcPr>
            <w:tcW w:w="2481" w:type="dxa"/>
            <w:shd w:val="clear" w:color="auto" w:fill="auto"/>
          </w:tcPr>
          <w:p w14:paraId="6AA3628F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Qualifications</w:t>
            </w:r>
            <w:r w:rsidR="0012172D">
              <w:rPr>
                <w:rFonts w:ascii="Arial" w:hAnsi="Arial" w:cs="Arial"/>
                <w:b/>
              </w:rPr>
              <w:t>:</w:t>
            </w:r>
          </w:p>
          <w:p w14:paraId="1908F0B4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0706DA53" w14:textId="28A8BC74" w:rsidR="00EC0260" w:rsidRPr="00964E90" w:rsidRDefault="00964E90" w:rsidP="00F82301">
            <w:p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964E90">
              <w:rPr>
                <w:rFonts w:ascii="Arial" w:hAnsi="Arial" w:cs="Arial"/>
              </w:rPr>
              <w:t>Qualified</w:t>
            </w:r>
            <w:r w:rsidR="00EC0260" w:rsidRPr="00964E90">
              <w:rPr>
                <w:rFonts w:ascii="Arial" w:hAnsi="Arial" w:cs="Arial"/>
              </w:rPr>
              <w:t xml:space="preserve"> as an advocate, barrister or solicitor in a Commonwealth jurisdiction </w:t>
            </w:r>
            <w:r w:rsidR="00155E5C">
              <w:rPr>
                <w:rFonts w:ascii="Arial" w:hAnsi="Arial" w:cs="Arial"/>
              </w:rPr>
              <w:t xml:space="preserve">or the Republic of Ireland </w:t>
            </w:r>
            <w:r w:rsidR="00EC0260" w:rsidRPr="00964E90">
              <w:rPr>
                <w:rFonts w:ascii="Arial" w:hAnsi="Arial" w:cs="Arial"/>
              </w:rPr>
              <w:t>with at least 5 years’ experience in legislative drafting, preferably of primary legislation.</w:t>
            </w:r>
          </w:p>
          <w:p w14:paraId="2CF246B8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7E74D4E8" w14:textId="77777777" w:rsidTr="00844BEB">
        <w:tc>
          <w:tcPr>
            <w:tcW w:w="2481" w:type="dxa"/>
            <w:shd w:val="clear" w:color="auto" w:fill="auto"/>
          </w:tcPr>
          <w:p w14:paraId="58B4550A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 xml:space="preserve">Knowledge and </w:t>
            </w:r>
          </w:p>
          <w:p w14:paraId="192F5766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Experience:</w:t>
            </w:r>
          </w:p>
          <w:p w14:paraId="483893B5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128E76EB" w14:textId="7B3F411B" w:rsidR="00C754F9" w:rsidRPr="00BE0F06" w:rsidRDefault="0012172D" w:rsidP="00FD17C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thorough understanding of the principles of legislative drafting</w:t>
            </w:r>
            <w:r w:rsidR="00C456C3">
              <w:rPr>
                <w:rFonts w:ascii="Arial" w:hAnsi="Arial" w:cs="Arial"/>
              </w:rPr>
              <w:t>.</w:t>
            </w:r>
          </w:p>
        </w:tc>
      </w:tr>
      <w:tr w:rsidR="00F82301" w:rsidRPr="00BE0F06" w14:paraId="66E67280" w14:textId="77777777" w:rsidTr="00844BEB">
        <w:tc>
          <w:tcPr>
            <w:tcW w:w="2481" w:type="dxa"/>
            <w:shd w:val="clear" w:color="auto" w:fill="auto"/>
          </w:tcPr>
          <w:p w14:paraId="5B13A60A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1BD5A5AD" w14:textId="68D2627F" w:rsidR="00F82301" w:rsidRPr="00964E90" w:rsidRDefault="00155E5C" w:rsidP="00F823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 the case of a </w:t>
            </w:r>
            <w:r w:rsidR="00F82301" w:rsidRPr="00964E90">
              <w:rPr>
                <w:rFonts w:ascii="Arial" w:hAnsi="Arial" w:cs="Arial"/>
              </w:rPr>
              <w:t>limited-term appointment, the successful candidate must be prepared to adapt quickly to the style of drafting and procedures that apply in Jersey.</w:t>
            </w:r>
          </w:p>
          <w:p w14:paraId="6E41A1BB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</w:tr>
      <w:tr w:rsidR="005622D1" w:rsidRPr="00BE0F06" w14:paraId="2A6DEDB6" w14:textId="77777777" w:rsidTr="00844BEB">
        <w:tc>
          <w:tcPr>
            <w:tcW w:w="2481" w:type="dxa"/>
            <w:shd w:val="clear" w:color="auto" w:fill="auto"/>
          </w:tcPr>
          <w:p w14:paraId="1DF1BBEE" w14:textId="77777777" w:rsidR="005622D1" w:rsidRPr="00BE0F06" w:rsidRDefault="005622D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5DC35A59" w14:textId="3292C922" w:rsidR="005622D1" w:rsidRDefault="002D26C7" w:rsidP="00F82301">
            <w:p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Knowledge of the </w:t>
            </w:r>
            <w:proofErr w:type="spellStart"/>
            <w:r w:rsidR="004636A4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Laws</w:t>
            </w:r>
            <w:proofErr w:type="spellEnd"/>
            <w:r>
              <w:rPr>
                <w:rFonts w:ascii="Arial" w:hAnsi="Arial" w:cs="Arial"/>
              </w:rPr>
              <w:t xml:space="preserve"> system and Prescient Plus would be advantageous.  If the candidate </w:t>
            </w:r>
            <w:r w:rsidR="004636A4">
              <w:rPr>
                <w:rFonts w:ascii="Arial" w:hAnsi="Arial" w:cs="Arial"/>
              </w:rPr>
              <w:t>is to</w:t>
            </w:r>
            <w:r>
              <w:rPr>
                <w:rFonts w:ascii="Arial" w:hAnsi="Arial" w:cs="Arial"/>
              </w:rPr>
              <w:t xml:space="preserve"> work remotely it will be particularly important for him or her to become familiar with the way the Island operates by following local media, etc.  There will be a number of remote meetings to attend so we would expect drafters to be in a similar time zone to Jersey</w:t>
            </w:r>
            <w:r w:rsidR="005622D1">
              <w:rPr>
                <w:rFonts w:ascii="Arial" w:hAnsi="Arial" w:cs="Arial"/>
              </w:rPr>
              <w:t>.</w:t>
            </w:r>
          </w:p>
        </w:tc>
      </w:tr>
      <w:tr w:rsidR="00C754F9" w:rsidRPr="00BE0F06" w14:paraId="022518D8" w14:textId="77777777" w:rsidTr="00AA3E77">
        <w:tc>
          <w:tcPr>
            <w:tcW w:w="2481" w:type="dxa"/>
            <w:shd w:val="clear" w:color="auto" w:fill="auto"/>
          </w:tcPr>
          <w:p w14:paraId="120BB92D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66CBAA0B" w14:textId="101CB74D" w:rsidR="00C754F9" w:rsidRDefault="000214CE" w:rsidP="00964E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Understanding of the principles of administrative law and the European Convention on Human Rights (ECHR)</w:t>
            </w:r>
            <w:r w:rsidR="00C456C3">
              <w:rPr>
                <w:rFonts w:ascii="Arial" w:hAnsi="Arial" w:cs="Arial"/>
              </w:rPr>
              <w:t>.</w:t>
            </w:r>
          </w:p>
          <w:p w14:paraId="2E4758C4" w14:textId="77777777" w:rsidR="00964E90" w:rsidRPr="00BE0F06" w:rsidRDefault="00964E90" w:rsidP="00964E90">
            <w:pPr>
              <w:rPr>
                <w:rFonts w:ascii="Arial" w:hAnsi="Arial" w:cs="Arial"/>
              </w:rPr>
            </w:pPr>
          </w:p>
        </w:tc>
      </w:tr>
      <w:tr w:rsidR="00C754F9" w:rsidRPr="00BE0F06" w14:paraId="200F2FED" w14:textId="77777777" w:rsidTr="00AA3E77">
        <w:tc>
          <w:tcPr>
            <w:tcW w:w="2481" w:type="dxa"/>
            <w:shd w:val="clear" w:color="auto" w:fill="auto"/>
          </w:tcPr>
          <w:p w14:paraId="6436CE70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Personal</w:t>
            </w:r>
          </w:p>
          <w:p w14:paraId="259A92D5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Attributes:</w:t>
            </w:r>
          </w:p>
          <w:p w14:paraId="35FFAE53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015A7EAF" w14:textId="7A2FB5F3" w:rsidR="00C754F9" w:rsidRDefault="0012172D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AA3E77">
              <w:rPr>
                <w:rFonts w:ascii="Arial" w:hAnsi="Arial" w:cs="Arial"/>
              </w:rPr>
              <w:t>bility to work under pressure</w:t>
            </w:r>
            <w:r w:rsidR="00C456C3">
              <w:rPr>
                <w:rFonts w:ascii="Arial" w:hAnsi="Arial" w:cs="Arial"/>
              </w:rPr>
              <w:t>.</w:t>
            </w:r>
          </w:p>
          <w:p w14:paraId="07BAB06E" w14:textId="77777777" w:rsidR="00F82301" w:rsidRPr="00BE0F06" w:rsidRDefault="00F82301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74CE4C70" w14:textId="77777777" w:rsidTr="00AA3E77">
        <w:tc>
          <w:tcPr>
            <w:tcW w:w="2481" w:type="dxa"/>
            <w:shd w:val="clear" w:color="auto" w:fill="auto"/>
          </w:tcPr>
          <w:p w14:paraId="01AE4C6A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16B627E9" w14:textId="65B021BB" w:rsidR="00C754F9" w:rsidRPr="00BE0F06" w:rsidRDefault="0012172D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w</w:t>
            </w:r>
            <w:r w:rsidR="000214CE">
              <w:rPr>
                <w:rFonts w:ascii="Arial" w:hAnsi="Arial" w:cs="Arial"/>
              </w:rPr>
              <w:t>orking in partnersh</w:t>
            </w:r>
            <w:r w:rsidR="00844BEB">
              <w:rPr>
                <w:rFonts w:ascii="Arial" w:hAnsi="Arial" w:cs="Arial"/>
              </w:rPr>
              <w:t>ip and build rap</w:t>
            </w:r>
            <w:r w:rsidR="000214CE">
              <w:rPr>
                <w:rFonts w:ascii="Arial" w:hAnsi="Arial" w:cs="Arial"/>
              </w:rPr>
              <w:t>port with a variety of key stakeholders</w:t>
            </w:r>
            <w:r w:rsidR="00C456C3">
              <w:rPr>
                <w:rFonts w:ascii="Arial" w:hAnsi="Arial" w:cs="Arial"/>
              </w:rPr>
              <w:t>.</w:t>
            </w:r>
          </w:p>
          <w:p w14:paraId="6525C39D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1788A70B" w14:textId="77777777" w:rsidTr="00AA3E77">
        <w:tc>
          <w:tcPr>
            <w:tcW w:w="2481" w:type="dxa"/>
            <w:shd w:val="clear" w:color="auto" w:fill="auto"/>
          </w:tcPr>
          <w:p w14:paraId="29576A83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199DE6F4" w14:textId="174D394B" w:rsidR="00C754F9" w:rsidRPr="00BE0F06" w:rsidRDefault="00CB0394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Adaptability</w:t>
            </w:r>
            <w:r w:rsidR="00C456C3">
              <w:rPr>
                <w:rFonts w:ascii="Arial" w:hAnsi="Arial" w:cs="Arial"/>
              </w:rPr>
              <w:t>.</w:t>
            </w:r>
          </w:p>
          <w:p w14:paraId="59B1DD6E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2001D986" w14:textId="77777777" w:rsidTr="00AA3E77">
        <w:tc>
          <w:tcPr>
            <w:tcW w:w="2481" w:type="dxa"/>
            <w:shd w:val="clear" w:color="auto" w:fill="auto"/>
          </w:tcPr>
          <w:p w14:paraId="707D21EB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0B8B14CF" w14:textId="340A253A" w:rsidR="00C754F9" w:rsidRPr="00BE0F06" w:rsidRDefault="00F82301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C754F9" w:rsidRPr="00BE0F06">
              <w:rPr>
                <w:rFonts w:ascii="Arial" w:hAnsi="Arial" w:cs="Arial"/>
              </w:rPr>
              <w:t>ntellectual rigour</w:t>
            </w:r>
            <w:r w:rsidR="00C456C3">
              <w:rPr>
                <w:rFonts w:ascii="Arial" w:hAnsi="Arial" w:cs="Arial"/>
              </w:rPr>
              <w:t>.</w:t>
            </w:r>
          </w:p>
          <w:p w14:paraId="71A9F3FB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5022536D" w14:textId="77777777" w:rsidTr="00AA3E77">
        <w:tc>
          <w:tcPr>
            <w:tcW w:w="2481" w:type="dxa"/>
            <w:shd w:val="clear" w:color="auto" w:fill="auto"/>
          </w:tcPr>
          <w:p w14:paraId="0202AE8B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3BEEBB33" w14:textId="551D884B" w:rsidR="00CB0394" w:rsidRDefault="00CB0394" w:rsidP="00CB03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to communicate with tact and diplomacy</w:t>
            </w:r>
            <w:r w:rsidR="00C456C3">
              <w:rPr>
                <w:rFonts w:ascii="Arial" w:hAnsi="Arial" w:cs="Arial"/>
              </w:rPr>
              <w:t>.</w:t>
            </w:r>
          </w:p>
          <w:p w14:paraId="50906FEA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5680A5EC" w14:textId="77777777" w:rsidTr="00AA3E77">
        <w:tc>
          <w:tcPr>
            <w:tcW w:w="2481" w:type="dxa"/>
            <w:shd w:val="clear" w:color="auto" w:fill="auto"/>
          </w:tcPr>
          <w:p w14:paraId="4FE75A42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  <w:r w:rsidRPr="00BE0F06">
              <w:rPr>
                <w:rFonts w:ascii="Arial" w:hAnsi="Arial" w:cs="Arial"/>
                <w:b/>
              </w:rPr>
              <w:t>Skills:</w:t>
            </w:r>
          </w:p>
          <w:p w14:paraId="797E71C3" w14:textId="77777777" w:rsidR="00C754F9" w:rsidRPr="00BE0F06" w:rsidRDefault="00C754F9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4803D7F5" w14:textId="144A83C1" w:rsidR="00C754F9" w:rsidRPr="00BE0F06" w:rsidRDefault="00C754F9" w:rsidP="003D7302">
            <w:pPr>
              <w:rPr>
                <w:rFonts w:ascii="Arial" w:hAnsi="Arial" w:cs="Arial"/>
              </w:rPr>
            </w:pPr>
            <w:r w:rsidRPr="00BE0F06">
              <w:rPr>
                <w:rFonts w:ascii="Arial" w:hAnsi="Arial" w:cs="Arial"/>
                <w:b/>
              </w:rPr>
              <w:t xml:space="preserve">The </w:t>
            </w:r>
            <w:r w:rsidR="00964E90">
              <w:rPr>
                <w:rFonts w:ascii="Arial" w:hAnsi="Arial" w:cs="Arial"/>
                <w:b/>
              </w:rPr>
              <w:t>Legislative Drafter i</w:t>
            </w:r>
            <w:r w:rsidRPr="00BE0F06">
              <w:rPr>
                <w:rFonts w:ascii="Arial" w:hAnsi="Arial" w:cs="Arial"/>
                <w:b/>
              </w:rPr>
              <w:t>s able to:</w:t>
            </w:r>
          </w:p>
        </w:tc>
      </w:tr>
      <w:tr w:rsidR="003D7302" w:rsidRPr="00BE0F06" w14:paraId="651042C0" w14:textId="77777777" w:rsidTr="00AA3E77">
        <w:tc>
          <w:tcPr>
            <w:tcW w:w="2481" w:type="dxa"/>
            <w:shd w:val="clear" w:color="auto" w:fill="auto"/>
          </w:tcPr>
          <w:p w14:paraId="4D5BA32F" w14:textId="77777777" w:rsidR="003D7302" w:rsidRPr="00BE0F06" w:rsidRDefault="003D7302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4F901206" w14:textId="689724FC" w:rsidR="003D7302" w:rsidRPr="00BE0F06" w:rsidRDefault="003D7302" w:rsidP="007E24C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Work autonomously;</w:t>
            </w:r>
          </w:p>
        </w:tc>
      </w:tr>
      <w:tr w:rsidR="00F82301" w:rsidRPr="00BE0F06" w14:paraId="1FE20BE5" w14:textId="77777777" w:rsidTr="00AA3E77">
        <w:tc>
          <w:tcPr>
            <w:tcW w:w="2481" w:type="dxa"/>
            <w:shd w:val="clear" w:color="auto" w:fill="auto"/>
          </w:tcPr>
          <w:p w14:paraId="206A395C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2627441B" w14:textId="77777777" w:rsidR="00F82301" w:rsidRDefault="00F82301" w:rsidP="00F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Take instructions from instructing officers from different backgrounds and with different levels of experience</w:t>
            </w:r>
            <w:r w:rsidR="0012172D">
              <w:rPr>
                <w:rFonts w:ascii="Arial" w:hAnsi="Arial" w:cs="Arial"/>
              </w:rPr>
              <w:t>;</w:t>
            </w:r>
          </w:p>
          <w:p w14:paraId="4B6C96CD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</w:tr>
      <w:tr w:rsidR="00F82301" w:rsidRPr="00BE0F06" w14:paraId="47622D3D" w14:textId="77777777" w:rsidTr="00AA3E77">
        <w:tc>
          <w:tcPr>
            <w:tcW w:w="2481" w:type="dxa"/>
            <w:shd w:val="clear" w:color="auto" w:fill="auto"/>
          </w:tcPr>
          <w:p w14:paraId="3DEF065D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15D40424" w14:textId="77777777" w:rsidR="00F82301" w:rsidRDefault="00F82301" w:rsidP="00F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BE0F06">
              <w:rPr>
                <w:rFonts w:ascii="Arial" w:hAnsi="Arial" w:cs="Arial"/>
              </w:rPr>
              <w:t>pply professional knowledge, understanding, skills and attributes to achieve desired outcomes;</w:t>
            </w:r>
          </w:p>
          <w:p w14:paraId="01AF9134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</w:tr>
      <w:tr w:rsidR="00F82301" w:rsidRPr="00BE0F06" w14:paraId="35D28D19" w14:textId="77777777" w:rsidTr="00AA3E77">
        <w:tc>
          <w:tcPr>
            <w:tcW w:w="2481" w:type="dxa"/>
            <w:shd w:val="clear" w:color="auto" w:fill="auto"/>
          </w:tcPr>
          <w:p w14:paraId="1C6E6398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  <w:tc>
          <w:tcPr>
            <w:tcW w:w="6535" w:type="dxa"/>
            <w:shd w:val="clear" w:color="auto" w:fill="auto"/>
          </w:tcPr>
          <w:p w14:paraId="51EF6DF3" w14:textId="181D52F3" w:rsidR="00F82301" w:rsidRPr="00BE0F06" w:rsidRDefault="00F82301" w:rsidP="00F823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and keep up momentum on assigned drafting projects</w:t>
            </w:r>
            <w:r w:rsidR="0012172D">
              <w:rPr>
                <w:rFonts w:ascii="Arial" w:hAnsi="Arial" w:cs="Arial"/>
              </w:rPr>
              <w:t>;</w:t>
            </w:r>
          </w:p>
          <w:p w14:paraId="6959D1CD" w14:textId="77777777" w:rsidR="00F82301" w:rsidRPr="00BE0F06" w:rsidRDefault="00F82301" w:rsidP="007E24C3">
            <w:pPr>
              <w:rPr>
                <w:rFonts w:ascii="Arial" w:hAnsi="Arial" w:cs="Arial"/>
                <w:b/>
              </w:rPr>
            </w:pPr>
          </w:p>
        </w:tc>
      </w:tr>
      <w:tr w:rsidR="00C754F9" w:rsidRPr="00BE0F06" w14:paraId="18023AE9" w14:textId="77777777" w:rsidTr="00AA3E77">
        <w:tc>
          <w:tcPr>
            <w:tcW w:w="2481" w:type="dxa"/>
            <w:shd w:val="clear" w:color="auto" w:fill="auto"/>
          </w:tcPr>
          <w:p w14:paraId="697BD9F0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4F64AE91" w14:textId="3803F444" w:rsidR="00C754F9" w:rsidRDefault="00F82301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964E90" w:rsidRPr="009B12AA">
              <w:rPr>
                <w:rFonts w:ascii="Arial" w:hAnsi="Arial" w:cs="Arial"/>
              </w:rPr>
              <w:t>emonstrate strong analytical skills</w:t>
            </w:r>
            <w:r w:rsidR="0012172D">
              <w:rPr>
                <w:rFonts w:ascii="Arial" w:hAnsi="Arial" w:cs="Arial"/>
              </w:rPr>
              <w:t>;</w:t>
            </w:r>
          </w:p>
          <w:p w14:paraId="6489DD78" w14:textId="77777777" w:rsidR="00964E90" w:rsidRPr="00BE0F06" w:rsidRDefault="00964E90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24C298D2" w14:textId="77777777" w:rsidTr="00AA3E77">
        <w:tc>
          <w:tcPr>
            <w:tcW w:w="2481" w:type="dxa"/>
            <w:shd w:val="clear" w:color="auto" w:fill="auto"/>
          </w:tcPr>
          <w:p w14:paraId="289AA8DB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504C937A" w14:textId="50ED1426" w:rsidR="00C754F9" w:rsidRPr="00BE0F06" w:rsidRDefault="0012172D" w:rsidP="001217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</w:t>
            </w:r>
            <w:r w:rsidR="00964E90" w:rsidRPr="009B12AA">
              <w:rPr>
                <w:rFonts w:ascii="Arial" w:hAnsi="Arial" w:cs="Arial"/>
              </w:rPr>
              <w:t xml:space="preserve"> excellent strategic and political awareness, with the ability to provide critical analysis </w:t>
            </w:r>
          </w:p>
        </w:tc>
      </w:tr>
      <w:tr w:rsidR="00C754F9" w:rsidRPr="00BE0F06" w14:paraId="63459C5D" w14:textId="77777777" w:rsidTr="00AA3E77">
        <w:tc>
          <w:tcPr>
            <w:tcW w:w="2481" w:type="dxa"/>
            <w:shd w:val="clear" w:color="auto" w:fill="auto"/>
          </w:tcPr>
          <w:p w14:paraId="586D8089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7BE8F636" w14:textId="77777777" w:rsidR="00C754F9" w:rsidRPr="00BE0F06" w:rsidRDefault="00F82301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="00C754F9" w:rsidRPr="00BE0F06">
              <w:rPr>
                <w:rFonts w:ascii="Arial" w:hAnsi="Arial" w:cs="Arial"/>
              </w:rPr>
              <w:t>hink creatively and imaginatively to anticipate and solve pro</w:t>
            </w:r>
            <w:r w:rsidR="000214CE">
              <w:rPr>
                <w:rFonts w:ascii="Arial" w:hAnsi="Arial" w:cs="Arial"/>
              </w:rPr>
              <w:t>blems and identify possible alternative solutions</w:t>
            </w:r>
            <w:r w:rsidR="00C754F9" w:rsidRPr="00BE0F06">
              <w:rPr>
                <w:rFonts w:ascii="Arial" w:hAnsi="Arial" w:cs="Arial"/>
              </w:rPr>
              <w:t>;</w:t>
            </w:r>
          </w:p>
          <w:p w14:paraId="333A6BC8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  <w:tr w:rsidR="00C754F9" w:rsidRPr="00BE0F06" w14:paraId="40D71DD4" w14:textId="77777777" w:rsidTr="00AA3E77">
        <w:tc>
          <w:tcPr>
            <w:tcW w:w="2481" w:type="dxa"/>
            <w:shd w:val="clear" w:color="auto" w:fill="auto"/>
          </w:tcPr>
          <w:p w14:paraId="008C8B48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  <w:tc>
          <w:tcPr>
            <w:tcW w:w="6535" w:type="dxa"/>
            <w:shd w:val="clear" w:color="auto" w:fill="auto"/>
          </w:tcPr>
          <w:p w14:paraId="2AC8076C" w14:textId="4A05865C" w:rsidR="00C754F9" w:rsidRPr="00BE0F06" w:rsidRDefault="00F82301" w:rsidP="007E24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C754F9" w:rsidRPr="00BE0F06">
              <w:rPr>
                <w:rFonts w:ascii="Arial" w:hAnsi="Arial" w:cs="Arial"/>
              </w:rPr>
              <w:t>ommunicate effectively orally and in</w:t>
            </w:r>
            <w:r w:rsidR="000214CE">
              <w:rPr>
                <w:rFonts w:ascii="Arial" w:hAnsi="Arial" w:cs="Arial"/>
              </w:rPr>
              <w:t xml:space="preserve"> writing to a range to politicians and senior officers</w:t>
            </w:r>
            <w:r w:rsidR="0012172D">
              <w:rPr>
                <w:rFonts w:ascii="Arial" w:hAnsi="Arial" w:cs="Arial"/>
              </w:rPr>
              <w:t>.</w:t>
            </w:r>
          </w:p>
          <w:p w14:paraId="56D191E7" w14:textId="77777777" w:rsidR="00C754F9" w:rsidRPr="00BE0F06" w:rsidRDefault="00C754F9" w:rsidP="007E24C3">
            <w:pPr>
              <w:rPr>
                <w:rFonts w:ascii="Arial" w:hAnsi="Arial" w:cs="Arial"/>
              </w:rPr>
            </w:pPr>
          </w:p>
        </w:tc>
      </w:tr>
    </w:tbl>
    <w:p w14:paraId="17A01427" w14:textId="77777777" w:rsidR="00635F24" w:rsidRDefault="00664FD0" w:rsidP="00F82301"/>
    <w:sectPr w:rsidR="00635F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4F9"/>
    <w:rsid w:val="00011E42"/>
    <w:rsid w:val="0001288D"/>
    <w:rsid w:val="000214CE"/>
    <w:rsid w:val="0012172D"/>
    <w:rsid w:val="00155E5C"/>
    <w:rsid w:val="002331A3"/>
    <w:rsid w:val="002D26C7"/>
    <w:rsid w:val="002E55ED"/>
    <w:rsid w:val="003D7302"/>
    <w:rsid w:val="004636A4"/>
    <w:rsid w:val="004E58E2"/>
    <w:rsid w:val="004F736F"/>
    <w:rsid w:val="005622D1"/>
    <w:rsid w:val="00664FD0"/>
    <w:rsid w:val="00690785"/>
    <w:rsid w:val="00844BEB"/>
    <w:rsid w:val="00964E90"/>
    <w:rsid w:val="00AA3E77"/>
    <w:rsid w:val="00C456C3"/>
    <w:rsid w:val="00C754F9"/>
    <w:rsid w:val="00CB0394"/>
    <w:rsid w:val="00EC0260"/>
    <w:rsid w:val="00F82301"/>
    <w:rsid w:val="00FD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7039"/>
  <w15:chartTrackingRefBased/>
  <w15:docId w15:val="{7C76CF09-356A-45EE-B492-C29CB374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7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7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2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 User</dc:creator>
  <cp:keywords/>
  <dc:description/>
  <cp:lastModifiedBy>Matthew Waddington</cp:lastModifiedBy>
  <cp:revision>2</cp:revision>
  <dcterms:created xsi:type="dcterms:W3CDTF">2021-07-06T16:02:00Z</dcterms:created>
  <dcterms:modified xsi:type="dcterms:W3CDTF">2021-07-06T16:02:00Z</dcterms:modified>
</cp:coreProperties>
</file>